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CCE" w:rsidRDefault="00160CCE" w:rsidP="00E10CF3">
      <w:pPr>
        <w:spacing w:after="0" w:line="480" w:lineRule="auto"/>
        <w:jc w:val="center"/>
        <w:rPr>
          <w:rFonts w:ascii="Times New Roman" w:eastAsia="Times New Roman" w:hAnsi="Times New Roman" w:cs="Times New Roman"/>
          <w:color w:val="1D1D1D"/>
          <w:sz w:val="24"/>
          <w:szCs w:val="24"/>
        </w:rPr>
      </w:pPr>
      <w:bookmarkStart w:id="0" w:name="_GoBack"/>
      <w:bookmarkEnd w:id="0"/>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160CCE" w:rsidRDefault="00160CCE" w:rsidP="00E10CF3">
      <w:pPr>
        <w:spacing w:after="0" w:line="480" w:lineRule="auto"/>
        <w:jc w:val="center"/>
        <w:rPr>
          <w:rFonts w:ascii="Times New Roman" w:eastAsia="Times New Roman" w:hAnsi="Times New Roman" w:cs="Times New Roman"/>
          <w:color w:val="1D1D1D"/>
          <w:sz w:val="24"/>
          <w:szCs w:val="24"/>
        </w:rPr>
      </w:pPr>
    </w:p>
    <w:p w:rsidR="00E10CF3" w:rsidRPr="00E10CF3" w:rsidRDefault="00E10CF3" w:rsidP="00E10CF3">
      <w:pPr>
        <w:spacing w:after="0" w:line="480" w:lineRule="auto"/>
        <w:jc w:val="center"/>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t>Financial Decisions</w:t>
      </w:r>
    </w:p>
    <w:p w:rsidR="00E10CF3" w:rsidRPr="00E10CF3" w:rsidRDefault="00E10CF3" w:rsidP="00E10CF3">
      <w:pPr>
        <w:spacing w:after="0" w:line="480" w:lineRule="auto"/>
        <w:jc w:val="center"/>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t>Name</w:t>
      </w:r>
    </w:p>
    <w:p w:rsidR="00E10CF3" w:rsidRPr="00E10CF3" w:rsidRDefault="00E10CF3" w:rsidP="00E10CF3">
      <w:pPr>
        <w:spacing w:after="0" w:line="480" w:lineRule="auto"/>
        <w:jc w:val="center"/>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t>Institution</w:t>
      </w:r>
    </w:p>
    <w:p w:rsidR="00E10CF3" w:rsidRPr="00E10CF3" w:rsidRDefault="00E10CF3" w:rsidP="00E10CF3">
      <w:pPr>
        <w:spacing w:after="0" w:line="480" w:lineRule="auto"/>
        <w:rPr>
          <w:rFonts w:ascii="Times New Roman" w:eastAsia="Times New Roman" w:hAnsi="Times New Roman" w:cs="Times New Roman"/>
          <w:color w:val="1D1D1D"/>
          <w:sz w:val="24"/>
          <w:szCs w:val="24"/>
        </w:rPr>
      </w:pPr>
    </w:p>
    <w:p w:rsidR="00E10CF3" w:rsidRPr="00E10CF3" w:rsidRDefault="00E10CF3" w:rsidP="00E10CF3">
      <w:pPr>
        <w:spacing w:after="0" w:line="480" w:lineRule="auto"/>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br w:type="page"/>
      </w:r>
    </w:p>
    <w:p w:rsidR="00C9549A" w:rsidRPr="00E10CF3" w:rsidRDefault="00DB1D77" w:rsidP="000952C1">
      <w:pPr>
        <w:spacing w:after="0" w:line="480" w:lineRule="auto"/>
        <w:jc w:val="center"/>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lastRenderedPageBreak/>
        <w:t>Financial Decisions</w:t>
      </w:r>
    </w:p>
    <w:p w:rsidR="00C9549A" w:rsidRDefault="00E10CF3" w:rsidP="00E10CF3">
      <w:pPr>
        <w:spacing w:after="0" w:line="480" w:lineRule="auto"/>
        <w:rPr>
          <w:rFonts w:ascii="Times New Roman" w:eastAsia="Times New Roman" w:hAnsi="Times New Roman" w:cs="Times New Roman"/>
          <w:b/>
          <w:color w:val="1D1D1D"/>
          <w:sz w:val="24"/>
          <w:szCs w:val="24"/>
        </w:rPr>
      </w:pPr>
      <w:r w:rsidRPr="000952C1">
        <w:rPr>
          <w:rFonts w:ascii="Times New Roman" w:eastAsia="Times New Roman" w:hAnsi="Times New Roman" w:cs="Times New Roman"/>
          <w:b/>
          <w:color w:val="1D1D1D"/>
          <w:sz w:val="24"/>
          <w:szCs w:val="24"/>
        </w:rPr>
        <w:t>Introduction</w:t>
      </w:r>
    </w:p>
    <w:p w:rsidR="000952C1" w:rsidRPr="000952C1" w:rsidRDefault="000952C1"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t>Managers use financial variables to make decisions like choosing between distinct investments and establishing whether an investment has sufficient returns based on the company’s internal requirements. Through financial analysis, it is possible to evaluate many business decisions by considering their financial benefits. Some common financial analysis tools are the Capital Asset Pricing Model (CAPM), the Weighted Aver</w:t>
      </w:r>
      <w:r w:rsidR="001B1CC5">
        <w:rPr>
          <w:rFonts w:ascii="Times New Roman" w:eastAsia="Times New Roman" w:hAnsi="Times New Roman" w:cs="Times New Roman"/>
          <w:color w:val="1D1D1D"/>
          <w:sz w:val="24"/>
          <w:szCs w:val="24"/>
        </w:rPr>
        <w:t xml:space="preserve">age Cost of Capital (WACC), Net Present Value (NPV), Standard Deviation, and the Internal Rate of Return (IRR). Through this paper, we </w:t>
      </w:r>
      <w:r w:rsidR="00930186">
        <w:rPr>
          <w:rFonts w:ascii="Times New Roman" w:eastAsia="Times New Roman" w:hAnsi="Times New Roman" w:cs="Times New Roman"/>
          <w:color w:val="1D1D1D"/>
          <w:sz w:val="24"/>
          <w:szCs w:val="24"/>
        </w:rPr>
        <w:t>analyze</w:t>
      </w:r>
      <w:r w:rsidR="001B1CC5">
        <w:rPr>
          <w:rFonts w:ascii="Times New Roman" w:eastAsia="Times New Roman" w:hAnsi="Times New Roman" w:cs="Times New Roman"/>
          <w:color w:val="1D1D1D"/>
          <w:sz w:val="24"/>
          <w:szCs w:val="24"/>
        </w:rPr>
        <w:t xml:space="preserve"> some of this tools and their impact on decision making in an organization. </w:t>
      </w:r>
    </w:p>
    <w:p w:rsidR="000952C1" w:rsidRDefault="000952C1" w:rsidP="00E10CF3">
      <w:pPr>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Some Financial Decisions</w:t>
      </w:r>
    </w:p>
    <w:p w:rsidR="00C9549A" w:rsidRDefault="007D72BC" w:rsidP="00723583">
      <w:pPr>
        <w:spacing w:after="0" w:line="480" w:lineRule="auto"/>
        <w:ind w:firstLine="360"/>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Stock Valuation</w:t>
      </w:r>
    </w:p>
    <w:p w:rsidR="007D72BC" w:rsidRPr="007D72BC" w:rsidRDefault="007D72BC"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b/>
          <w:color w:val="1D1D1D"/>
          <w:sz w:val="24"/>
          <w:szCs w:val="24"/>
        </w:rPr>
        <w:tab/>
      </w:r>
      <w:r>
        <w:rPr>
          <w:rFonts w:ascii="Times New Roman" w:eastAsia="Times New Roman" w:hAnsi="Times New Roman" w:cs="Times New Roman"/>
          <w:color w:val="1D1D1D"/>
          <w:sz w:val="24"/>
          <w:szCs w:val="24"/>
        </w:rPr>
        <w:t xml:space="preserve">The percentage total return, the capital gains yield, and the dividend yield help calculate the percentage return from a stock investment. Capital gains are returns form the appreciation of the stock price of </w:t>
      </w:r>
      <w:r w:rsidR="00124917">
        <w:rPr>
          <w:rFonts w:ascii="Times New Roman" w:eastAsia="Times New Roman" w:hAnsi="Times New Roman" w:cs="Times New Roman"/>
          <w:color w:val="1D1D1D"/>
          <w:sz w:val="24"/>
          <w:szCs w:val="24"/>
        </w:rPr>
        <w:t xml:space="preserve">the investment while dividend is the amount paid to shareholders as a share of a company’s profits. The percentage total return combines </w:t>
      </w:r>
      <w:r w:rsidR="0061502C">
        <w:rPr>
          <w:rFonts w:ascii="Times New Roman" w:eastAsia="Times New Roman" w:hAnsi="Times New Roman" w:cs="Times New Roman"/>
          <w:color w:val="1D1D1D"/>
          <w:sz w:val="24"/>
          <w:szCs w:val="24"/>
        </w:rPr>
        <w:t>capital gains and dividends</w:t>
      </w:r>
      <w:sdt>
        <w:sdtPr>
          <w:rPr>
            <w:rFonts w:ascii="Times New Roman" w:eastAsia="Times New Roman" w:hAnsi="Times New Roman" w:cs="Times New Roman"/>
            <w:color w:val="1D1D1D"/>
            <w:sz w:val="24"/>
            <w:szCs w:val="24"/>
          </w:rPr>
          <w:id w:val="677160114"/>
          <w:citation/>
        </w:sdtPr>
        <w:sdtEndPr/>
        <w:sdtContent>
          <w:r w:rsidR="00FB4414">
            <w:rPr>
              <w:rFonts w:ascii="Times New Roman" w:eastAsia="Times New Roman" w:hAnsi="Times New Roman" w:cs="Times New Roman"/>
              <w:color w:val="1D1D1D"/>
              <w:sz w:val="24"/>
              <w:szCs w:val="24"/>
            </w:rPr>
            <w:fldChar w:fldCharType="begin"/>
          </w:r>
          <w:r w:rsidR="00FB4414">
            <w:rPr>
              <w:rFonts w:ascii="Times New Roman" w:eastAsia="Times New Roman" w:hAnsi="Times New Roman" w:cs="Times New Roman"/>
              <w:color w:val="1D1D1D"/>
              <w:sz w:val="24"/>
              <w:szCs w:val="24"/>
            </w:rPr>
            <w:instrText xml:space="preserve"> CITATION Ros16 \l 1033 </w:instrText>
          </w:r>
          <w:r w:rsidR="00FB4414">
            <w:rPr>
              <w:rFonts w:ascii="Times New Roman" w:eastAsia="Times New Roman" w:hAnsi="Times New Roman" w:cs="Times New Roman"/>
              <w:color w:val="1D1D1D"/>
              <w:sz w:val="24"/>
              <w:szCs w:val="24"/>
            </w:rPr>
            <w:fldChar w:fldCharType="separate"/>
          </w:r>
          <w:r w:rsidR="00FB4414">
            <w:rPr>
              <w:rFonts w:ascii="Times New Roman" w:eastAsia="Times New Roman" w:hAnsi="Times New Roman" w:cs="Times New Roman"/>
              <w:noProof/>
              <w:color w:val="1D1D1D"/>
              <w:sz w:val="24"/>
              <w:szCs w:val="24"/>
            </w:rPr>
            <w:t xml:space="preserve"> </w:t>
          </w:r>
          <w:r w:rsidR="00FB4414" w:rsidRPr="00FB4414">
            <w:rPr>
              <w:rFonts w:ascii="Times New Roman" w:eastAsia="Times New Roman" w:hAnsi="Times New Roman" w:cs="Times New Roman"/>
              <w:noProof/>
              <w:color w:val="1D1D1D"/>
              <w:sz w:val="24"/>
              <w:szCs w:val="24"/>
            </w:rPr>
            <w:t>(Ross, Westerfield, Jaffe, &amp; Jordan, 2016)</w:t>
          </w:r>
          <w:r w:rsidR="00FB4414">
            <w:rPr>
              <w:rFonts w:ascii="Times New Roman" w:eastAsia="Times New Roman" w:hAnsi="Times New Roman" w:cs="Times New Roman"/>
              <w:color w:val="1D1D1D"/>
              <w:sz w:val="24"/>
              <w:szCs w:val="24"/>
            </w:rPr>
            <w:fldChar w:fldCharType="end"/>
          </w:r>
        </w:sdtContent>
      </w:sdt>
      <w:r w:rsidR="0061502C">
        <w:rPr>
          <w:rFonts w:ascii="Times New Roman" w:eastAsia="Times New Roman" w:hAnsi="Times New Roman" w:cs="Times New Roman"/>
          <w:color w:val="1D1D1D"/>
          <w:sz w:val="24"/>
          <w:szCs w:val="24"/>
        </w:rPr>
        <w:t xml:space="preserve">. Decision makers use this measure to </w:t>
      </w:r>
      <w:r w:rsidR="00695025">
        <w:rPr>
          <w:rFonts w:ascii="Times New Roman" w:eastAsia="Times New Roman" w:hAnsi="Times New Roman" w:cs="Times New Roman"/>
          <w:color w:val="1D1D1D"/>
          <w:sz w:val="24"/>
          <w:szCs w:val="24"/>
        </w:rPr>
        <w:t xml:space="preserve">identify investments that have the highest return and make decisions on which assets to hold and which ones to sell in a portfolio. </w:t>
      </w:r>
    </w:p>
    <w:p w:rsidR="00C9549A" w:rsidRDefault="00C9549A" w:rsidP="00723583">
      <w:pPr>
        <w:spacing w:after="0" w:line="480" w:lineRule="auto"/>
        <w:ind w:firstLine="360"/>
        <w:rPr>
          <w:rFonts w:ascii="Times New Roman" w:eastAsia="Times New Roman" w:hAnsi="Times New Roman" w:cs="Times New Roman"/>
          <w:b/>
          <w:color w:val="1D1D1D"/>
          <w:sz w:val="24"/>
          <w:szCs w:val="24"/>
        </w:rPr>
      </w:pPr>
      <w:r w:rsidRPr="00C9549A">
        <w:rPr>
          <w:rFonts w:ascii="Times New Roman" w:eastAsia="Times New Roman" w:hAnsi="Times New Roman" w:cs="Times New Roman"/>
          <w:b/>
          <w:color w:val="1D1D1D"/>
          <w:sz w:val="24"/>
          <w:szCs w:val="24"/>
        </w:rPr>
        <w:t xml:space="preserve">Total Return </w:t>
      </w:r>
    </w:p>
    <w:p w:rsidR="00F849AE" w:rsidRPr="00F849AE" w:rsidRDefault="00F849AE"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ab/>
        <w:t xml:space="preserve">The </w:t>
      </w:r>
      <w:r w:rsidR="00897FF7">
        <w:rPr>
          <w:rFonts w:ascii="Times New Roman" w:eastAsia="Times New Roman" w:hAnsi="Times New Roman" w:cs="Times New Roman"/>
          <w:color w:val="1D1D1D"/>
          <w:sz w:val="24"/>
          <w:szCs w:val="24"/>
        </w:rPr>
        <w:t xml:space="preserve">total return is the </w:t>
      </w:r>
      <w:r w:rsidR="00B37C3C">
        <w:rPr>
          <w:rFonts w:ascii="Times New Roman" w:eastAsia="Times New Roman" w:hAnsi="Times New Roman" w:cs="Times New Roman"/>
          <w:color w:val="1D1D1D"/>
          <w:sz w:val="24"/>
          <w:szCs w:val="24"/>
        </w:rPr>
        <w:t xml:space="preserve">actual return from an investment. For instance, while the total percentage return measures the yield in percentage that an organization obtains from holding an asset, the total return measures the actual profit from an investment in monetary terms. </w:t>
      </w:r>
      <w:r w:rsidR="006A4498">
        <w:rPr>
          <w:rFonts w:ascii="Times New Roman" w:eastAsia="Times New Roman" w:hAnsi="Times New Roman" w:cs="Times New Roman"/>
          <w:color w:val="1D1D1D"/>
          <w:sz w:val="24"/>
          <w:szCs w:val="24"/>
        </w:rPr>
        <w:t xml:space="preserve">The total </w:t>
      </w:r>
      <w:r w:rsidR="006A4498">
        <w:rPr>
          <w:rFonts w:ascii="Times New Roman" w:eastAsia="Times New Roman" w:hAnsi="Times New Roman" w:cs="Times New Roman"/>
          <w:color w:val="1D1D1D"/>
          <w:sz w:val="24"/>
          <w:szCs w:val="24"/>
        </w:rPr>
        <w:lastRenderedPageBreak/>
        <w:t xml:space="preserve">return is important in </w:t>
      </w:r>
      <w:r w:rsidR="00107AD6">
        <w:rPr>
          <w:rFonts w:ascii="Times New Roman" w:eastAsia="Times New Roman" w:hAnsi="Times New Roman" w:cs="Times New Roman"/>
          <w:color w:val="1D1D1D"/>
          <w:sz w:val="24"/>
          <w:szCs w:val="24"/>
        </w:rPr>
        <w:t xml:space="preserve">evaluating what, in terms of money, was actually made from holding an asset through a certain period. </w:t>
      </w:r>
    </w:p>
    <w:p w:rsidR="00C9549A" w:rsidRDefault="000952C1" w:rsidP="00723583">
      <w:pPr>
        <w:spacing w:after="0" w:line="480" w:lineRule="auto"/>
        <w:ind w:firstLine="360"/>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CAPM</w:t>
      </w:r>
    </w:p>
    <w:p w:rsidR="009A3642" w:rsidRDefault="009A3642"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b/>
          <w:color w:val="1D1D1D"/>
          <w:sz w:val="24"/>
          <w:szCs w:val="24"/>
        </w:rPr>
        <w:tab/>
      </w:r>
      <w:r>
        <w:rPr>
          <w:rFonts w:ascii="Times New Roman" w:eastAsia="Times New Roman" w:hAnsi="Times New Roman" w:cs="Times New Roman"/>
          <w:color w:val="1D1D1D"/>
          <w:sz w:val="24"/>
          <w:szCs w:val="24"/>
        </w:rPr>
        <w:t>The Capital Asset Pricing Model (CAPM) measures the expected return from an investment. The formula for CAPM is:</w:t>
      </w:r>
    </w:p>
    <w:p w:rsidR="009A3642" w:rsidRDefault="009A3642"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Expected Return = Risk Free Rate + Beta × (Market Rate – Risk Free Rate)</w:t>
      </w:r>
    </w:p>
    <w:p w:rsidR="00837095" w:rsidRDefault="00310385" w:rsidP="00E10CF3">
      <w:pPr>
        <w:spacing w:after="0" w:line="480" w:lineRule="auto"/>
        <w:rPr>
          <w:rFonts w:ascii="Times New Roman" w:eastAsia="Times New Roman" w:hAnsi="Times New Roman" w:cs="Times New Roman"/>
          <w:color w:val="1D1D1D"/>
          <w:sz w:val="24"/>
          <w:szCs w:val="24"/>
        </w:rPr>
      </w:pPr>
      <w:sdt>
        <w:sdtPr>
          <w:rPr>
            <w:rFonts w:ascii="Times New Roman" w:eastAsia="Times New Roman" w:hAnsi="Times New Roman" w:cs="Times New Roman"/>
            <w:color w:val="1D1D1D"/>
            <w:sz w:val="24"/>
            <w:szCs w:val="24"/>
          </w:rPr>
          <w:id w:val="-2036877628"/>
          <w:citation/>
        </w:sdtPr>
        <w:sdtEndPr/>
        <w:sdtContent>
          <w:r w:rsidR="00837095">
            <w:rPr>
              <w:rFonts w:ascii="Times New Roman" w:eastAsia="Times New Roman" w:hAnsi="Times New Roman" w:cs="Times New Roman"/>
              <w:color w:val="1D1D1D"/>
              <w:sz w:val="24"/>
              <w:szCs w:val="24"/>
            </w:rPr>
            <w:fldChar w:fldCharType="begin"/>
          </w:r>
          <w:r w:rsidR="00837095">
            <w:rPr>
              <w:rFonts w:ascii="Times New Roman" w:eastAsia="Times New Roman" w:hAnsi="Times New Roman" w:cs="Times New Roman"/>
              <w:color w:val="1D1D1D"/>
              <w:sz w:val="24"/>
              <w:szCs w:val="24"/>
            </w:rPr>
            <w:instrText xml:space="preserve"> CITATION Ros16 \l 1033 </w:instrText>
          </w:r>
          <w:r w:rsidR="00837095">
            <w:rPr>
              <w:rFonts w:ascii="Times New Roman" w:eastAsia="Times New Roman" w:hAnsi="Times New Roman" w:cs="Times New Roman"/>
              <w:color w:val="1D1D1D"/>
              <w:sz w:val="24"/>
              <w:szCs w:val="24"/>
            </w:rPr>
            <w:fldChar w:fldCharType="separate"/>
          </w:r>
          <w:r w:rsidR="00837095" w:rsidRPr="00837095">
            <w:rPr>
              <w:rFonts w:ascii="Times New Roman" w:eastAsia="Times New Roman" w:hAnsi="Times New Roman" w:cs="Times New Roman"/>
              <w:noProof/>
              <w:color w:val="1D1D1D"/>
              <w:sz w:val="24"/>
              <w:szCs w:val="24"/>
            </w:rPr>
            <w:t>(Ross, Westerfield, Jaffe, &amp; Jordan, 2016)</w:t>
          </w:r>
          <w:r w:rsidR="00837095">
            <w:rPr>
              <w:rFonts w:ascii="Times New Roman" w:eastAsia="Times New Roman" w:hAnsi="Times New Roman" w:cs="Times New Roman"/>
              <w:color w:val="1D1D1D"/>
              <w:sz w:val="24"/>
              <w:szCs w:val="24"/>
            </w:rPr>
            <w:fldChar w:fldCharType="end"/>
          </w:r>
        </w:sdtContent>
      </w:sdt>
    </w:p>
    <w:p w:rsidR="009A3642" w:rsidRPr="009A3642" w:rsidRDefault="009A3642" w:rsidP="009A3642">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The </w:t>
      </w:r>
      <w:r w:rsidR="003B3342">
        <w:rPr>
          <w:rFonts w:ascii="Times New Roman" w:eastAsia="Times New Roman" w:hAnsi="Times New Roman" w:cs="Times New Roman"/>
          <w:color w:val="1D1D1D"/>
          <w:sz w:val="24"/>
          <w:szCs w:val="24"/>
        </w:rPr>
        <w:t xml:space="preserve">risk free rate is usually the rate offered on government securities, such as the </w:t>
      </w:r>
      <w:r w:rsidR="003937BC">
        <w:rPr>
          <w:rFonts w:ascii="Times New Roman" w:eastAsia="Times New Roman" w:hAnsi="Times New Roman" w:cs="Times New Roman"/>
          <w:color w:val="1D1D1D"/>
          <w:sz w:val="24"/>
          <w:szCs w:val="24"/>
        </w:rPr>
        <w:t>10-year</w:t>
      </w:r>
      <w:r w:rsidR="003B3342">
        <w:rPr>
          <w:rFonts w:ascii="Times New Roman" w:eastAsia="Times New Roman" w:hAnsi="Times New Roman" w:cs="Times New Roman"/>
          <w:color w:val="1D1D1D"/>
          <w:sz w:val="24"/>
          <w:szCs w:val="24"/>
        </w:rPr>
        <w:t xml:space="preserve"> United States treasury bonds because these are considered </w:t>
      </w:r>
      <w:r w:rsidR="003937BC">
        <w:rPr>
          <w:rFonts w:ascii="Times New Roman" w:eastAsia="Times New Roman" w:hAnsi="Times New Roman" w:cs="Times New Roman"/>
          <w:color w:val="1D1D1D"/>
          <w:sz w:val="24"/>
          <w:szCs w:val="24"/>
        </w:rPr>
        <w:t>the</w:t>
      </w:r>
      <w:r w:rsidR="003B3342">
        <w:rPr>
          <w:rFonts w:ascii="Times New Roman" w:eastAsia="Times New Roman" w:hAnsi="Times New Roman" w:cs="Times New Roman"/>
          <w:color w:val="1D1D1D"/>
          <w:sz w:val="24"/>
          <w:szCs w:val="24"/>
        </w:rPr>
        <w:t xml:space="preserve"> safest assets in the market. We calculate Beta by comparing the historical returns of the asset with those of a market index such as the S&amp;P 500. The </w:t>
      </w:r>
      <w:r w:rsidR="00221070">
        <w:rPr>
          <w:rFonts w:ascii="Times New Roman" w:eastAsia="Times New Roman" w:hAnsi="Times New Roman" w:cs="Times New Roman"/>
          <w:color w:val="1D1D1D"/>
          <w:sz w:val="24"/>
          <w:szCs w:val="24"/>
        </w:rPr>
        <w:t xml:space="preserve">market rate is the historical return on a benchmark index like the S&amp;P 500 </w:t>
      </w:r>
      <w:r w:rsidR="003A66D3">
        <w:rPr>
          <w:rFonts w:ascii="Times New Roman" w:eastAsia="Times New Roman" w:hAnsi="Times New Roman" w:cs="Times New Roman"/>
          <w:color w:val="1D1D1D"/>
          <w:sz w:val="24"/>
          <w:szCs w:val="24"/>
        </w:rPr>
        <w:t>over a period</w:t>
      </w:r>
      <w:r w:rsidR="00221070">
        <w:rPr>
          <w:rFonts w:ascii="Times New Roman" w:eastAsia="Times New Roman" w:hAnsi="Times New Roman" w:cs="Times New Roman"/>
          <w:color w:val="1D1D1D"/>
          <w:sz w:val="24"/>
          <w:szCs w:val="24"/>
        </w:rPr>
        <w:t xml:space="preserve">. </w:t>
      </w:r>
      <w:r w:rsidR="00837095">
        <w:rPr>
          <w:rFonts w:ascii="Times New Roman" w:eastAsia="Times New Roman" w:hAnsi="Times New Roman" w:cs="Times New Roman"/>
          <w:color w:val="1D1D1D"/>
          <w:sz w:val="24"/>
          <w:szCs w:val="24"/>
        </w:rPr>
        <w:t>The expected return is an important tool in gauging the yields that a stock offers compared to the overall market yield.</w:t>
      </w:r>
      <w:r w:rsidR="00225725">
        <w:rPr>
          <w:rFonts w:ascii="Times New Roman" w:eastAsia="Times New Roman" w:hAnsi="Times New Roman" w:cs="Times New Roman"/>
          <w:color w:val="1D1D1D"/>
          <w:sz w:val="24"/>
          <w:szCs w:val="24"/>
        </w:rPr>
        <w:t xml:space="preserve"> This tool can help an investor improve their overall portfolio’s performance.</w:t>
      </w:r>
    </w:p>
    <w:p w:rsidR="004E449D" w:rsidRDefault="00C9549A" w:rsidP="00723583">
      <w:pPr>
        <w:spacing w:after="0" w:line="480" w:lineRule="auto"/>
        <w:ind w:firstLine="360"/>
        <w:rPr>
          <w:rFonts w:ascii="Times New Roman" w:eastAsia="Times New Roman" w:hAnsi="Times New Roman" w:cs="Times New Roman"/>
          <w:b/>
          <w:color w:val="1D1D1D"/>
          <w:sz w:val="24"/>
          <w:szCs w:val="24"/>
        </w:rPr>
      </w:pPr>
      <w:r w:rsidRPr="00C9549A">
        <w:rPr>
          <w:rFonts w:ascii="Times New Roman" w:eastAsia="Times New Roman" w:hAnsi="Times New Roman" w:cs="Times New Roman"/>
          <w:b/>
          <w:color w:val="1D1D1D"/>
          <w:sz w:val="24"/>
          <w:szCs w:val="24"/>
        </w:rPr>
        <w:t>WACC</w:t>
      </w:r>
    </w:p>
    <w:p w:rsidR="00C9549A" w:rsidRDefault="004E449D"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b/>
          <w:color w:val="1D1D1D"/>
          <w:sz w:val="24"/>
          <w:szCs w:val="24"/>
        </w:rPr>
        <w:tab/>
      </w:r>
      <w:r w:rsidR="007E5C1D">
        <w:rPr>
          <w:rFonts w:ascii="Times New Roman" w:eastAsia="Times New Roman" w:hAnsi="Times New Roman" w:cs="Times New Roman"/>
          <w:color w:val="1D1D1D"/>
          <w:sz w:val="24"/>
          <w:szCs w:val="24"/>
        </w:rPr>
        <w:t xml:space="preserve">The Weighted Average Cost of Capital (WACC) measures an </w:t>
      </w:r>
      <w:r w:rsidR="00F45255">
        <w:rPr>
          <w:rFonts w:ascii="Times New Roman" w:eastAsia="Times New Roman" w:hAnsi="Times New Roman" w:cs="Times New Roman"/>
          <w:color w:val="1D1D1D"/>
          <w:sz w:val="24"/>
          <w:szCs w:val="24"/>
        </w:rPr>
        <w:t xml:space="preserve">organization’s </w:t>
      </w:r>
      <w:r w:rsidR="007E5C1D">
        <w:rPr>
          <w:rFonts w:ascii="Times New Roman" w:eastAsia="Times New Roman" w:hAnsi="Times New Roman" w:cs="Times New Roman"/>
          <w:color w:val="1D1D1D"/>
          <w:sz w:val="24"/>
          <w:szCs w:val="24"/>
        </w:rPr>
        <w:t>cost of capital</w:t>
      </w:r>
      <w:sdt>
        <w:sdtPr>
          <w:rPr>
            <w:rFonts w:ascii="Times New Roman" w:eastAsia="Times New Roman" w:hAnsi="Times New Roman" w:cs="Times New Roman"/>
            <w:color w:val="1D1D1D"/>
            <w:sz w:val="24"/>
            <w:szCs w:val="24"/>
          </w:rPr>
          <w:id w:val="992376687"/>
          <w:citation/>
        </w:sdtPr>
        <w:sdtEndPr/>
        <w:sdtContent>
          <w:r w:rsidR="00C56FED">
            <w:rPr>
              <w:rFonts w:ascii="Times New Roman" w:eastAsia="Times New Roman" w:hAnsi="Times New Roman" w:cs="Times New Roman"/>
              <w:color w:val="1D1D1D"/>
              <w:sz w:val="24"/>
              <w:szCs w:val="24"/>
            </w:rPr>
            <w:fldChar w:fldCharType="begin"/>
          </w:r>
          <w:r w:rsidR="00C56FED">
            <w:rPr>
              <w:rFonts w:ascii="Times New Roman" w:eastAsia="Times New Roman" w:hAnsi="Times New Roman" w:cs="Times New Roman"/>
              <w:color w:val="1D1D1D"/>
              <w:sz w:val="24"/>
              <w:szCs w:val="24"/>
            </w:rPr>
            <w:instrText xml:space="preserve"> CITATION Ros16 \l 1033 </w:instrText>
          </w:r>
          <w:r w:rsidR="00C56FED">
            <w:rPr>
              <w:rFonts w:ascii="Times New Roman" w:eastAsia="Times New Roman" w:hAnsi="Times New Roman" w:cs="Times New Roman"/>
              <w:color w:val="1D1D1D"/>
              <w:sz w:val="24"/>
              <w:szCs w:val="24"/>
            </w:rPr>
            <w:fldChar w:fldCharType="separate"/>
          </w:r>
          <w:r w:rsidR="00C56FED">
            <w:rPr>
              <w:rFonts w:ascii="Times New Roman" w:eastAsia="Times New Roman" w:hAnsi="Times New Roman" w:cs="Times New Roman"/>
              <w:noProof/>
              <w:color w:val="1D1D1D"/>
              <w:sz w:val="24"/>
              <w:szCs w:val="24"/>
            </w:rPr>
            <w:t xml:space="preserve"> </w:t>
          </w:r>
          <w:r w:rsidR="00C56FED" w:rsidRPr="00C56FED">
            <w:rPr>
              <w:rFonts w:ascii="Times New Roman" w:eastAsia="Times New Roman" w:hAnsi="Times New Roman" w:cs="Times New Roman"/>
              <w:noProof/>
              <w:color w:val="1D1D1D"/>
              <w:sz w:val="24"/>
              <w:szCs w:val="24"/>
            </w:rPr>
            <w:t>(Ross, Westerfield, Jaffe, &amp; Jordan, 2016)</w:t>
          </w:r>
          <w:r w:rsidR="00C56FED">
            <w:rPr>
              <w:rFonts w:ascii="Times New Roman" w:eastAsia="Times New Roman" w:hAnsi="Times New Roman" w:cs="Times New Roman"/>
              <w:color w:val="1D1D1D"/>
              <w:sz w:val="24"/>
              <w:szCs w:val="24"/>
            </w:rPr>
            <w:fldChar w:fldCharType="end"/>
          </w:r>
        </w:sdtContent>
      </w:sdt>
      <w:r w:rsidR="007E5C1D">
        <w:rPr>
          <w:rFonts w:ascii="Times New Roman" w:eastAsia="Times New Roman" w:hAnsi="Times New Roman" w:cs="Times New Roman"/>
          <w:color w:val="1D1D1D"/>
          <w:sz w:val="24"/>
          <w:szCs w:val="24"/>
        </w:rPr>
        <w:t xml:space="preserve">. </w:t>
      </w:r>
      <w:r w:rsidR="00F45255">
        <w:rPr>
          <w:rFonts w:ascii="Times New Roman" w:eastAsia="Times New Roman" w:hAnsi="Times New Roman" w:cs="Times New Roman"/>
          <w:color w:val="1D1D1D"/>
          <w:sz w:val="24"/>
          <w:szCs w:val="24"/>
        </w:rPr>
        <w:t xml:space="preserve">After ascertaining the cost of capital, decision </w:t>
      </w:r>
      <w:r w:rsidR="00543B7C">
        <w:rPr>
          <w:rFonts w:ascii="Times New Roman" w:eastAsia="Times New Roman" w:hAnsi="Times New Roman" w:cs="Times New Roman"/>
          <w:color w:val="1D1D1D"/>
          <w:sz w:val="24"/>
          <w:szCs w:val="24"/>
        </w:rPr>
        <w:t xml:space="preserve">makers can then choose to </w:t>
      </w:r>
      <w:r w:rsidR="00F45255">
        <w:rPr>
          <w:rFonts w:ascii="Times New Roman" w:eastAsia="Times New Roman" w:hAnsi="Times New Roman" w:cs="Times New Roman"/>
          <w:color w:val="1D1D1D"/>
          <w:sz w:val="24"/>
          <w:szCs w:val="24"/>
        </w:rPr>
        <w:t xml:space="preserve">invest </w:t>
      </w:r>
      <w:r w:rsidR="00543B7C">
        <w:rPr>
          <w:rFonts w:ascii="Times New Roman" w:eastAsia="Times New Roman" w:hAnsi="Times New Roman" w:cs="Times New Roman"/>
          <w:color w:val="1D1D1D"/>
          <w:sz w:val="24"/>
          <w:szCs w:val="24"/>
        </w:rPr>
        <w:t xml:space="preserve">only </w:t>
      </w:r>
      <w:r w:rsidR="00F45255">
        <w:rPr>
          <w:rFonts w:ascii="Times New Roman" w:eastAsia="Times New Roman" w:hAnsi="Times New Roman" w:cs="Times New Roman"/>
          <w:color w:val="1D1D1D"/>
          <w:sz w:val="24"/>
          <w:szCs w:val="24"/>
        </w:rPr>
        <w:t>in projects whose return is higher than the cost of capital. WACC is also used as a discounting tool in the calculations of NPV. The formula for WACC is:</w:t>
      </w:r>
    </w:p>
    <w:p w:rsidR="00F45255" w:rsidRPr="00F45255" w:rsidRDefault="00F45255"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WACC = (Cost of Equity × Weight of Equity) + (Cost of Debt × Weight of Debt) × (1 – Tax Rate)</w:t>
      </w:r>
    </w:p>
    <w:p w:rsidR="00723583" w:rsidRDefault="00723583">
      <w:pPr>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br w:type="page"/>
      </w:r>
    </w:p>
    <w:p w:rsidR="00C9549A" w:rsidRDefault="00C9549A" w:rsidP="00723583">
      <w:pPr>
        <w:spacing w:after="0" w:line="480" w:lineRule="auto"/>
        <w:ind w:firstLine="360"/>
        <w:rPr>
          <w:rFonts w:ascii="Times New Roman" w:eastAsia="Times New Roman" w:hAnsi="Times New Roman" w:cs="Times New Roman"/>
          <w:b/>
          <w:color w:val="1D1D1D"/>
          <w:sz w:val="24"/>
          <w:szCs w:val="24"/>
        </w:rPr>
      </w:pPr>
      <w:r w:rsidRPr="00C9549A">
        <w:rPr>
          <w:rFonts w:ascii="Times New Roman" w:eastAsia="Times New Roman" w:hAnsi="Times New Roman" w:cs="Times New Roman"/>
          <w:b/>
          <w:color w:val="1D1D1D"/>
          <w:sz w:val="24"/>
          <w:szCs w:val="24"/>
        </w:rPr>
        <w:lastRenderedPageBreak/>
        <w:t xml:space="preserve">Flotation Costs </w:t>
      </w:r>
    </w:p>
    <w:p w:rsidR="00F45255" w:rsidRPr="00543B7C" w:rsidRDefault="00F45255" w:rsidP="00E10CF3">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b/>
          <w:color w:val="1D1D1D"/>
          <w:sz w:val="24"/>
          <w:szCs w:val="24"/>
        </w:rPr>
        <w:tab/>
      </w:r>
      <w:r w:rsidR="000636EF">
        <w:rPr>
          <w:rFonts w:ascii="Times New Roman" w:eastAsia="Times New Roman" w:hAnsi="Times New Roman" w:cs="Times New Roman"/>
          <w:color w:val="1D1D1D"/>
          <w:sz w:val="24"/>
          <w:szCs w:val="24"/>
        </w:rPr>
        <w:t xml:space="preserve">Floatation costs are costs that a company incurs when seeking for additional capital. These costs include the commission paid to transaction advisors when listing a bond or issuing new shares and the interest charged on a new loan. Floatation costs are part of the total financing costs. When </w:t>
      </w:r>
      <w:r w:rsidR="007B5BB7">
        <w:rPr>
          <w:rFonts w:ascii="Times New Roman" w:eastAsia="Times New Roman" w:hAnsi="Times New Roman" w:cs="Times New Roman"/>
          <w:color w:val="1D1D1D"/>
          <w:sz w:val="24"/>
          <w:szCs w:val="24"/>
        </w:rPr>
        <w:t>capital is raised from multiple sources such as equity and debt to</w:t>
      </w:r>
      <w:r w:rsidR="000636EF">
        <w:rPr>
          <w:rFonts w:ascii="Times New Roman" w:eastAsia="Times New Roman" w:hAnsi="Times New Roman" w:cs="Times New Roman"/>
          <w:color w:val="1D1D1D"/>
          <w:sz w:val="24"/>
          <w:szCs w:val="24"/>
        </w:rPr>
        <w:t xml:space="preserve"> finance a project, we calculate the total floatation costs by adding the weighted costs of finance from each source.</w:t>
      </w:r>
      <w:r w:rsidR="00F50486">
        <w:rPr>
          <w:rFonts w:ascii="Times New Roman" w:eastAsia="Times New Roman" w:hAnsi="Times New Roman" w:cs="Times New Roman"/>
          <w:color w:val="1D1D1D"/>
          <w:sz w:val="24"/>
          <w:szCs w:val="24"/>
        </w:rPr>
        <w:t xml:space="preserve"> Floatation costs increase the total costs of a project and can be used to determine the best financing sources and the most optimal financing mix.</w:t>
      </w:r>
    </w:p>
    <w:p w:rsidR="00C9549A" w:rsidRDefault="00C9549A" w:rsidP="00E10CF3">
      <w:pPr>
        <w:spacing w:after="0" w:line="480" w:lineRule="auto"/>
        <w:rPr>
          <w:rFonts w:ascii="Times New Roman" w:eastAsia="Times New Roman" w:hAnsi="Times New Roman" w:cs="Times New Roman"/>
          <w:color w:val="1D1D1D"/>
          <w:sz w:val="24"/>
          <w:szCs w:val="24"/>
        </w:rPr>
      </w:pPr>
      <w:r w:rsidRPr="00C9549A">
        <w:rPr>
          <w:rFonts w:ascii="Times New Roman" w:eastAsia="Times New Roman" w:hAnsi="Times New Roman" w:cs="Times New Roman"/>
          <w:b/>
          <w:color w:val="1D1D1D"/>
          <w:sz w:val="24"/>
          <w:szCs w:val="24"/>
        </w:rPr>
        <w:t>Conclusion</w:t>
      </w:r>
      <w:r w:rsidRPr="00C9549A">
        <w:rPr>
          <w:rFonts w:ascii="Times New Roman" w:eastAsia="Times New Roman" w:hAnsi="Times New Roman" w:cs="Times New Roman"/>
          <w:color w:val="1D1D1D"/>
          <w:sz w:val="24"/>
          <w:szCs w:val="24"/>
        </w:rPr>
        <w:t xml:space="preserve"> </w:t>
      </w:r>
    </w:p>
    <w:p w:rsidR="00F50486" w:rsidRPr="00F50486" w:rsidRDefault="00F50486" w:rsidP="00E10CF3">
      <w:pPr>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color w:val="1D1D1D"/>
          <w:sz w:val="24"/>
          <w:szCs w:val="24"/>
        </w:rPr>
        <w:tab/>
      </w:r>
      <w:r w:rsidR="00B1549D">
        <w:rPr>
          <w:rFonts w:ascii="Times New Roman" w:eastAsia="Times New Roman" w:hAnsi="Times New Roman" w:cs="Times New Roman"/>
          <w:color w:val="1D1D1D"/>
          <w:sz w:val="24"/>
          <w:szCs w:val="24"/>
        </w:rPr>
        <w:t>Organizations employ the finance tools like the ones ment</w:t>
      </w:r>
      <w:r w:rsidR="007B4B49">
        <w:rPr>
          <w:rFonts w:ascii="Times New Roman" w:eastAsia="Times New Roman" w:hAnsi="Times New Roman" w:cs="Times New Roman"/>
          <w:color w:val="1D1D1D"/>
          <w:sz w:val="24"/>
          <w:szCs w:val="24"/>
        </w:rPr>
        <w:t xml:space="preserve">ioned above to make investment and financing decisions. Through financial analysis, it is possible to make a choice between two investments based purely on their expected returns. It is also possible to determine whether to make an investment or not based on the returns from the project compared to the cost of raising capital and the minimum expected return. </w:t>
      </w:r>
      <w:r w:rsidR="000060AA">
        <w:rPr>
          <w:rFonts w:ascii="Times New Roman" w:eastAsia="Times New Roman" w:hAnsi="Times New Roman" w:cs="Times New Roman"/>
          <w:color w:val="1D1D1D"/>
          <w:sz w:val="24"/>
          <w:szCs w:val="24"/>
        </w:rPr>
        <w:t xml:space="preserve">Decision makers should employ finance tools like the ones discussed to make better decisions. </w:t>
      </w:r>
    </w:p>
    <w:p w:rsidR="00E10CF3" w:rsidRPr="00E10CF3" w:rsidRDefault="00E10CF3" w:rsidP="00E10CF3">
      <w:pPr>
        <w:spacing w:after="0" w:line="480" w:lineRule="auto"/>
        <w:rPr>
          <w:rFonts w:ascii="Times New Roman" w:eastAsia="Times New Roman" w:hAnsi="Times New Roman" w:cs="Times New Roman"/>
          <w:color w:val="1D1D1D"/>
          <w:sz w:val="24"/>
          <w:szCs w:val="24"/>
        </w:rPr>
      </w:pPr>
    </w:p>
    <w:p w:rsidR="00E10CF3" w:rsidRPr="00E10CF3" w:rsidRDefault="00E10CF3" w:rsidP="00E10CF3">
      <w:pPr>
        <w:spacing w:after="0" w:line="480" w:lineRule="auto"/>
        <w:rPr>
          <w:rFonts w:ascii="Times New Roman" w:eastAsia="Times New Roman" w:hAnsi="Times New Roman" w:cs="Times New Roman"/>
          <w:color w:val="1D1D1D"/>
          <w:sz w:val="24"/>
          <w:szCs w:val="24"/>
        </w:rPr>
      </w:pPr>
      <w:r w:rsidRPr="00E10CF3">
        <w:rPr>
          <w:rFonts w:ascii="Times New Roman" w:eastAsia="Times New Roman" w:hAnsi="Times New Roman" w:cs="Times New Roman"/>
          <w:color w:val="1D1D1D"/>
          <w:sz w:val="24"/>
          <w:szCs w:val="24"/>
        </w:rPr>
        <w:br w:type="page"/>
      </w:r>
    </w:p>
    <w:p w:rsidR="00C9549A" w:rsidRDefault="00A16ACC" w:rsidP="00A16ACC">
      <w:pPr>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Reference</w:t>
      </w:r>
    </w:p>
    <w:p w:rsidR="00A16ACC" w:rsidRPr="00A16ACC" w:rsidRDefault="00A16ACC" w:rsidP="00A16ACC">
      <w:pPr>
        <w:pStyle w:val="Bibliography"/>
        <w:spacing w:after="0" w:line="480" w:lineRule="auto"/>
        <w:ind w:left="720" w:hanging="720"/>
        <w:rPr>
          <w:rFonts w:ascii="Times New Roman" w:hAnsi="Times New Roman" w:cs="Times New Roman"/>
          <w:noProof/>
          <w:sz w:val="24"/>
          <w:szCs w:val="24"/>
        </w:rPr>
      </w:pPr>
      <w:r w:rsidRPr="00A16ACC">
        <w:rPr>
          <w:rFonts w:ascii="Times New Roman" w:eastAsia="Times New Roman" w:hAnsi="Times New Roman" w:cs="Times New Roman"/>
          <w:color w:val="1D1D1D"/>
          <w:sz w:val="24"/>
          <w:szCs w:val="24"/>
        </w:rPr>
        <w:fldChar w:fldCharType="begin"/>
      </w:r>
      <w:r w:rsidRPr="00A16ACC">
        <w:rPr>
          <w:rFonts w:ascii="Times New Roman" w:eastAsia="Times New Roman" w:hAnsi="Times New Roman" w:cs="Times New Roman"/>
          <w:color w:val="1D1D1D"/>
          <w:sz w:val="24"/>
          <w:szCs w:val="24"/>
        </w:rPr>
        <w:instrText xml:space="preserve"> BIBLIOGRAPHY  \l 1033 </w:instrText>
      </w:r>
      <w:r w:rsidRPr="00A16ACC">
        <w:rPr>
          <w:rFonts w:ascii="Times New Roman" w:eastAsia="Times New Roman" w:hAnsi="Times New Roman" w:cs="Times New Roman"/>
          <w:color w:val="1D1D1D"/>
          <w:sz w:val="24"/>
          <w:szCs w:val="24"/>
        </w:rPr>
        <w:fldChar w:fldCharType="separate"/>
      </w:r>
      <w:r w:rsidRPr="00A16ACC">
        <w:rPr>
          <w:rFonts w:ascii="Times New Roman" w:hAnsi="Times New Roman" w:cs="Times New Roman"/>
          <w:noProof/>
          <w:sz w:val="24"/>
          <w:szCs w:val="24"/>
        </w:rPr>
        <w:t xml:space="preserve">Ross, S., Westerfield, R., Jaffe, J., &amp; Jordan, B. (2016). </w:t>
      </w:r>
      <w:r w:rsidRPr="00A16ACC">
        <w:rPr>
          <w:rFonts w:ascii="Times New Roman" w:hAnsi="Times New Roman" w:cs="Times New Roman"/>
          <w:i/>
          <w:iCs/>
          <w:noProof/>
          <w:sz w:val="24"/>
          <w:szCs w:val="24"/>
        </w:rPr>
        <w:t>Corporate Finance</w:t>
      </w:r>
      <w:r w:rsidRPr="00A16ACC">
        <w:rPr>
          <w:rFonts w:ascii="Times New Roman" w:hAnsi="Times New Roman" w:cs="Times New Roman"/>
          <w:noProof/>
          <w:sz w:val="24"/>
          <w:szCs w:val="24"/>
        </w:rPr>
        <w:t xml:space="preserve"> (11th ed.). New York: McGraw-Hill Education.</w:t>
      </w:r>
    </w:p>
    <w:p w:rsidR="001450AE" w:rsidRPr="00723583" w:rsidRDefault="00A16ACC" w:rsidP="00E10CF3">
      <w:pPr>
        <w:spacing w:after="0" w:line="480" w:lineRule="auto"/>
        <w:rPr>
          <w:rFonts w:ascii="Times New Roman" w:eastAsia="Times New Roman" w:hAnsi="Times New Roman" w:cs="Times New Roman"/>
          <w:color w:val="1D1D1D"/>
          <w:sz w:val="24"/>
          <w:szCs w:val="24"/>
        </w:rPr>
      </w:pPr>
      <w:r w:rsidRPr="00A16ACC">
        <w:rPr>
          <w:rFonts w:ascii="Times New Roman" w:eastAsia="Times New Roman" w:hAnsi="Times New Roman" w:cs="Times New Roman"/>
          <w:color w:val="1D1D1D"/>
          <w:sz w:val="24"/>
          <w:szCs w:val="24"/>
        </w:rPr>
        <w:fldChar w:fldCharType="end"/>
      </w:r>
    </w:p>
    <w:sectPr w:rsidR="001450AE" w:rsidRPr="00723583" w:rsidSect="00E10C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385" w:rsidRDefault="00310385" w:rsidP="00C9549A">
      <w:pPr>
        <w:spacing w:after="0" w:line="240" w:lineRule="auto"/>
      </w:pPr>
      <w:r>
        <w:separator/>
      </w:r>
    </w:p>
  </w:endnote>
  <w:endnote w:type="continuationSeparator" w:id="0">
    <w:p w:rsidR="00310385" w:rsidRDefault="00310385" w:rsidP="00C9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08D" w:rsidRDefault="003A50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08D" w:rsidRDefault="003A50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08D" w:rsidRDefault="003A50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385" w:rsidRDefault="00310385" w:rsidP="00C9549A">
      <w:pPr>
        <w:spacing w:after="0" w:line="240" w:lineRule="auto"/>
      </w:pPr>
      <w:r>
        <w:separator/>
      </w:r>
    </w:p>
  </w:footnote>
  <w:footnote w:type="continuationSeparator" w:id="0">
    <w:p w:rsidR="00310385" w:rsidRDefault="00310385" w:rsidP="00C954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08D" w:rsidRDefault="003A50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08D" w:rsidRDefault="003A50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CF3" w:rsidRPr="00E10CF3" w:rsidRDefault="00E10CF3" w:rsidP="00E10CF3">
    <w:pPr>
      <w:pStyle w:val="Header"/>
      <w:spacing w:line="480" w:lineRule="auto"/>
      <w:rPr>
        <w:rFonts w:ascii="Times New Roman" w:hAnsi="Times New Roman" w:cs="Times New Roman"/>
        <w:sz w:val="24"/>
        <w:szCs w:val="24"/>
      </w:rPr>
    </w:pPr>
    <w:r w:rsidRPr="00E10CF3">
      <w:rPr>
        <w:rFonts w:ascii="Times New Roman" w:hAnsi="Times New Roman" w:cs="Times New Roman"/>
        <w:sz w:val="24"/>
        <w:szCs w:val="24"/>
      </w:rPr>
      <w:t xml:space="preserve">Running head: </w:t>
    </w:r>
    <w:r w:rsidRPr="00E10CF3">
      <w:rPr>
        <w:rFonts w:ascii="Times New Roman" w:eastAsia="Times New Roman" w:hAnsi="Times New Roman" w:cs="Times New Roman"/>
        <w:color w:val="1D1D1D"/>
        <w:sz w:val="24"/>
        <w:szCs w:val="24"/>
      </w:rPr>
      <w:t>FINANCIAL DECISIONS</w:t>
    </w:r>
    <w:r w:rsidRPr="00E10CF3">
      <w:rPr>
        <w:rFonts w:ascii="Times New Roman" w:hAnsi="Times New Roman" w:cs="Times New Roman"/>
        <w:sz w:val="24"/>
        <w:szCs w:val="24"/>
      </w:rPr>
      <w:t xml:space="preserve"> </w:t>
    </w:r>
    <w:r w:rsidRPr="00E10CF3">
      <w:rPr>
        <w:rFonts w:ascii="Times New Roman" w:hAnsi="Times New Roman" w:cs="Times New Roman"/>
        <w:sz w:val="24"/>
        <w:szCs w:val="24"/>
      </w:rPr>
      <w:tab/>
    </w:r>
    <w:r w:rsidRPr="00E10CF3">
      <w:rPr>
        <w:rFonts w:ascii="Times New Roman" w:hAnsi="Times New Roman" w:cs="Times New Roman"/>
        <w:sz w:val="24"/>
        <w:szCs w:val="24"/>
      </w:rPr>
      <w:tab/>
    </w:r>
    <w:sdt>
      <w:sdtPr>
        <w:rPr>
          <w:rFonts w:ascii="Times New Roman" w:hAnsi="Times New Roman" w:cs="Times New Roman"/>
          <w:sz w:val="24"/>
          <w:szCs w:val="24"/>
        </w:rPr>
        <w:id w:val="255099208"/>
        <w:docPartObj>
          <w:docPartGallery w:val="Page Numbers (Top of Page)"/>
          <w:docPartUnique/>
        </w:docPartObj>
      </w:sdtPr>
      <w:sdtEndPr>
        <w:rPr>
          <w:noProof/>
        </w:rPr>
      </w:sdtEndPr>
      <w:sdtContent>
        <w:r w:rsidRPr="00E10CF3">
          <w:rPr>
            <w:rFonts w:ascii="Times New Roman" w:hAnsi="Times New Roman" w:cs="Times New Roman"/>
            <w:sz w:val="24"/>
            <w:szCs w:val="24"/>
          </w:rPr>
          <w:fldChar w:fldCharType="begin"/>
        </w:r>
        <w:r w:rsidRPr="00E10CF3">
          <w:rPr>
            <w:rFonts w:ascii="Times New Roman" w:hAnsi="Times New Roman" w:cs="Times New Roman"/>
            <w:sz w:val="24"/>
            <w:szCs w:val="24"/>
          </w:rPr>
          <w:instrText xml:space="preserve"> PAGE   \* MERGEFORMAT </w:instrText>
        </w:r>
        <w:r w:rsidRPr="00E10CF3">
          <w:rPr>
            <w:rFonts w:ascii="Times New Roman" w:hAnsi="Times New Roman" w:cs="Times New Roman"/>
            <w:sz w:val="24"/>
            <w:szCs w:val="24"/>
          </w:rPr>
          <w:fldChar w:fldCharType="separate"/>
        </w:r>
        <w:r w:rsidR="00A0094A">
          <w:rPr>
            <w:rFonts w:ascii="Times New Roman" w:hAnsi="Times New Roman" w:cs="Times New Roman"/>
            <w:noProof/>
            <w:sz w:val="24"/>
            <w:szCs w:val="24"/>
          </w:rPr>
          <w:t>1</w:t>
        </w:r>
        <w:r w:rsidRPr="00E10CF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9A"/>
    <w:rsid w:val="000060AA"/>
    <w:rsid w:val="000636EF"/>
    <w:rsid w:val="000952C1"/>
    <w:rsid w:val="00107AD6"/>
    <w:rsid w:val="00124917"/>
    <w:rsid w:val="001450AE"/>
    <w:rsid w:val="00160CCE"/>
    <w:rsid w:val="001B1CC5"/>
    <w:rsid w:val="00221070"/>
    <w:rsid w:val="00225725"/>
    <w:rsid w:val="00310385"/>
    <w:rsid w:val="003937BC"/>
    <w:rsid w:val="003A508D"/>
    <w:rsid w:val="003A66D3"/>
    <w:rsid w:val="003B3342"/>
    <w:rsid w:val="004E449D"/>
    <w:rsid w:val="00543B7C"/>
    <w:rsid w:val="0061502C"/>
    <w:rsid w:val="00695025"/>
    <w:rsid w:val="006A4498"/>
    <w:rsid w:val="0071260C"/>
    <w:rsid w:val="00723583"/>
    <w:rsid w:val="007B4B49"/>
    <w:rsid w:val="007B5BB7"/>
    <w:rsid w:val="007D72BC"/>
    <w:rsid w:val="007E5C1D"/>
    <w:rsid w:val="008331C8"/>
    <w:rsid w:val="00837095"/>
    <w:rsid w:val="00897FF7"/>
    <w:rsid w:val="009031DA"/>
    <w:rsid w:val="00930186"/>
    <w:rsid w:val="009A3642"/>
    <w:rsid w:val="00A0094A"/>
    <w:rsid w:val="00A16ACC"/>
    <w:rsid w:val="00B1549D"/>
    <w:rsid w:val="00B37C3C"/>
    <w:rsid w:val="00BC1D12"/>
    <w:rsid w:val="00C56FED"/>
    <w:rsid w:val="00C9549A"/>
    <w:rsid w:val="00D71878"/>
    <w:rsid w:val="00DB1D77"/>
    <w:rsid w:val="00DF1B8C"/>
    <w:rsid w:val="00E10CF3"/>
    <w:rsid w:val="00F45255"/>
    <w:rsid w:val="00F50486"/>
    <w:rsid w:val="00F849AE"/>
    <w:rsid w:val="00FB4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49A"/>
  </w:style>
  <w:style w:type="paragraph" w:styleId="Footer">
    <w:name w:val="footer"/>
    <w:basedOn w:val="Normal"/>
    <w:link w:val="FooterChar"/>
    <w:uiPriority w:val="99"/>
    <w:unhideWhenUsed/>
    <w:rsid w:val="00C95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49A"/>
  </w:style>
  <w:style w:type="paragraph" w:styleId="Bibliography">
    <w:name w:val="Bibliography"/>
    <w:basedOn w:val="Normal"/>
    <w:next w:val="Normal"/>
    <w:uiPriority w:val="37"/>
    <w:unhideWhenUsed/>
    <w:rsid w:val="00D71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876317">
      <w:bodyDiv w:val="1"/>
      <w:marLeft w:val="0"/>
      <w:marRight w:val="0"/>
      <w:marTop w:val="0"/>
      <w:marBottom w:val="0"/>
      <w:divBdr>
        <w:top w:val="none" w:sz="0" w:space="0" w:color="auto"/>
        <w:left w:val="none" w:sz="0" w:space="0" w:color="auto"/>
        <w:bottom w:val="none" w:sz="0" w:space="0" w:color="auto"/>
        <w:right w:val="none" w:sz="0" w:space="0" w:color="auto"/>
      </w:divBdr>
      <w:divsChild>
        <w:div w:id="1253659237">
          <w:marLeft w:val="0"/>
          <w:marRight w:val="0"/>
          <w:marTop w:val="0"/>
          <w:marBottom w:val="0"/>
          <w:divBdr>
            <w:top w:val="none" w:sz="0" w:space="0" w:color="auto"/>
            <w:left w:val="none" w:sz="0" w:space="0" w:color="auto"/>
            <w:bottom w:val="none" w:sz="0" w:space="0" w:color="auto"/>
            <w:right w:val="none" w:sz="0" w:space="0" w:color="auto"/>
          </w:divBdr>
        </w:div>
        <w:div w:id="433980949">
          <w:marLeft w:val="0"/>
          <w:marRight w:val="0"/>
          <w:marTop w:val="0"/>
          <w:marBottom w:val="0"/>
          <w:divBdr>
            <w:top w:val="none" w:sz="0" w:space="0" w:color="auto"/>
            <w:left w:val="none" w:sz="0" w:space="0" w:color="auto"/>
            <w:bottom w:val="none" w:sz="0" w:space="0" w:color="auto"/>
            <w:right w:val="none" w:sz="0" w:space="0" w:color="auto"/>
          </w:divBdr>
        </w:div>
        <w:div w:id="1752309107">
          <w:marLeft w:val="0"/>
          <w:marRight w:val="0"/>
          <w:marTop w:val="0"/>
          <w:marBottom w:val="0"/>
          <w:divBdr>
            <w:top w:val="none" w:sz="0" w:space="0" w:color="auto"/>
            <w:left w:val="none" w:sz="0" w:space="0" w:color="auto"/>
            <w:bottom w:val="none" w:sz="0" w:space="0" w:color="auto"/>
            <w:right w:val="none" w:sz="0" w:space="0" w:color="auto"/>
          </w:divBdr>
        </w:div>
        <w:div w:id="1615673727">
          <w:marLeft w:val="0"/>
          <w:marRight w:val="0"/>
          <w:marTop w:val="0"/>
          <w:marBottom w:val="0"/>
          <w:divBdr>
            <w:top w:val="none" w:sz="0" w:space="0" w:color="auto"/>
            <w:left w:val="none" w:sz="0" w:space="0" w:color="auto"/>
            <w:bottom w:val="none" w:sz="0" w:space="0" w:color="auto"/>
            <w:right w:val="none" w:sz="0" w:space="0" w:color="auto"/>
          </w:divBdr>
        </w:div>
        <w:div w:id="1178083887">
          <w:marLeft w:val="0"/>
          <w:marRight w:val="0"/>
          <w:marTop w:val="0"/>
          <w:marBottom w:val="0"/>
          <w:divBdr>
            <w:top w:val="none" w:sz="0" w:space="0" w:color="auto"/>
            <w:left w:val="none" w:sz="0" w:space="0" w:color="auto"/>
            <w:bottom w:val="none" w:sz="0" w:space="0" w:color="auto"/>
            <w:right w:val="none" w:sz="0" w:space="0" w:color="auto"/>
          </w:divBdr>
        </w:div>
        <w:div w:id="1950888267">
          <w:marLeft w:val="0"/>
          <w:marRight w:val="0"/>
          <w:marTop w:val="0"/>
          <w:marBottom w:val="0"/>
          <w:divBdr>
            <w:top w:val="none" w:sz="0" w:space="0" w:color="auto"/>
            <w:left w:val="none" w:sz="0" w:space="0" w:color="auto"/>
            <w:bottom w:val="none" w:sz="0" w:space="0" w:color="auto"/>
            <w:right w:val="none" w:sz="0" w:space="0" w:color="auto"/>
          </w:divBdr>
        </w:div>
      </w:divsChild>
    </w:div>
    <w:div w:id="479200491">
      <w:bodyDiv w:val="1"/>
      <w:marLeft w:val="0"/>
      <w:marRight w:val="0"/>
      <w:marTop w:val="0"/>
      <w:marBottom w:val="0"/>
      <w:divBdr>
        <w:top w:val="none" w:sz="0" w:space="0" w:color="auto"/>
        <w:left w:val="none" w:sz="0" w:space="0" w:color="auto"/>
        <w:bottom w:val="none" w:sz="0" w:space="0" w:color="auto"/>
        <w:right w:val="none" w:sz="0" w:space="0" w:color="auto"/>
      </w:divBdr>
    </w:div>
    <w:div w:id="572273254">
      <w:bodyDiv w:val="1"/>
      <w:marLeft w:val="0"/>
      <w:marRight w:val="0"/>
      <w:marTop w:val="0"/>
      <w:marBottom w:val="0"/>
      <w:divBdr>
        <w:top w:val="none" w:sz="0" w:space="0" w:color="auto"/>
        <w:left w:val="none" w:sz="0" w:space="0" w:color="auto"/>
        <w:bottom w:val="none" w:sz="0" w:space="0" w:color="auto"/>
        <w:right w:val="none" w:sz="0" w:space="0" w:color="auto"/>
      </w:divBdr>
    </w:div>
    <w:div w:id="1308706004">
      <w:bodyDiv w:val="1"/>
      <w:marLeft w:val="0"/>
      <w:marRight w:val="0"/>
      <w:marTop w:val="0"/>
      <w:marBottom w:val="0"/>
      <w:divBdr>
        <w:top w:val="none" w:sz="0" w:space="0" w:color="auto"/>
        <w:left w:val="none" w:sz="0" w:space="0" w:color="auto"/>
        <w:bottom w:val="none" w:sz="0" w:space="0" w:color="auto"/>
        <w:right w:val="none" w:sz="0" w:space="0" w:color="auto"/>
      </w:divBdr>
    </w:div>
    <w:div w:id="1499734512">
      <w:bodyDiv w:val="1"/>
      <w:marLeft w:val="0"/>
      <w:marRight w:val="0"/>
      <w:marTop w:val="0"/>
      <w:marBottom w:val="0"/>
      <w:divBdr>
        <w:top w:val="none" w:sz="0" w:space="0" w:color="auto"/>
        <w:left w:val="none" w:sz="0" w:space="0" w:color="auto"/>
        <w:bottom w:val="none" w:sz="0" w:space="0" w:color="auto"/>
        <w:right w:val="none" w:sz="0" w:space="0" w:color="auto"/>
      </w:divBdr>
    </w:div>
    <w:div w:id="1607495665">
      <w:bodyDiv w:val="1"/>
      <w:marLeft w:val="0"/>
      <w:marRight w:val="0"/>
      <w:marTop w:val="0"/>
      <w:marBottom w:val="0"/>
      <w:divBdr>
        <w:top w:val="none" w:sz="0" w:space="0" w:color="auto"/>
        <w:left w:val="none" w:sz="0" w:space="0" w:color="auto"/>
        <w:bottom w:val="none" w:sz="0" w:space="0" w:color="auto"/>
        <w:right w:val="none" w:sz="0" w:space="0" w:color="auto"/>
      </w:divBdr>
    </w:div>
    <w:div w:id="1830711381">
      <w:bodyDiv w:val="1"/>
      <w:marLeft w:val="0"/>
      <w:marRight w:val="0"/>
      <w:marTop w:val="0"/>
      <w:marBottom w:val="0"/>
      <w:divBdr>
        <w:top w:val="none" w:sz="0" w:space="0" w:color="auto"/>
        <w:left w:val="none" w:sz="0" w:space="0" w:color="auto"/>
        <w:bottom w:val="none" w:sz="0" w:space="0" w:color="auto"/>
        <w:right w:val="none" w:sz="0" w:space="0" w:color="auto"/>
      </w:divBdr>
    </w:div>
    <w:div w:id="1849562297">
      <w:bodyDiv w:val="1"/>
      <w:marLeft w:val="0"/>
      <w:marRight w:val="0"/>
      <w:marTop w:val="0"/>
      <w:marBottom w:val="0"/>
      <w:divBdr>
        <w:top w:val="none" w:sz="0" w:space="0" w:color="auto"/>
        <w:left w:val="none" w:sz="0" w:space="0" w:color="auto"/>
        <w:bottom w:val="none" w:sz="0" w:space="0" w:color="auto"/>
        <w:right w:val="none" w:sz="0" w:space="0" w:color="auto"/>
      </w:divBdr>
    </w:div>
    <w:div w:id="185992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Ros16</b:Tag>
    <b:SourceType>Book</b:SourceType>
    <b:Guid>{A842CB42-6932-4A4C-953B-FC38707E7392}</b:Guid>
    <b:Title>Corporate Finance</b:Title>
    <b:Year>2016</b:Year>
    <b:City>New York</b:City>
    <b:Publisher>McGraw-Hill Education</b:Publisher>
    <b:Edition>11th</b:Edition>
    <b:Author>
      <b:Author>
        <b:NameList>
          <b:Person>
            <b:Last>Ross</b:Last>
            <b:First>S.</b:First>
          </b:Person>
          <b:Person>
            <b:Last>Westerfield</b:Last>
            <b:First>R.</b:First>
          </b:Person>
          <b:Person>
            <b:Last>Jaffe</b:Last>
            <b:First>J.</b:First>
          </b:Person>
          <b:Person>
            <b:Last>Jordan</b:Last>
            <b:First>B.</b:First>
          </b:Person>
        </b:NameList>
      </b:Author>
    </b:Author>
    <b:RefOrder>1</b:RefOrder>
  </b:Source>
</b:Sources>
</file>

<file path=customXml/itemProps1.xml><?xml version="1.0" encoding="utf-8"?>
<ds:datastoreItem xmlns:ds="http://schemas.openxmlformats.org/officeDocument/2006/customXml" ds:itemID="{DD4A1F35-A6C8-4E9B-A024-AD32EB53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2018-12-04T23:10:00Z</dcterms:created>
  <dcterms:modified xsi:type="dcterms:W3CDTF">2018-12-04T23:10:00Z</dcterms:modified>
</cp:coreProperties>
</file>